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13EA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2EC1C0EA" w14:textId="33DE3E30" w:rsidR="00B255AF" w:rsidRPr="00E05A5F" w:rsidRDefault="006C4726" w:rsidP="00E05A5F">
      <w:pPr>
        <w:pStyle w:val="Textbody"/>
        <w:widowControl/>
        <w:spacing w:after="0"/>
        <w:jc w:val="center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UCZEŃ Z AFAZJĄ - DOSTOSOWANIE WYMAGAŃ</w:t>
      </w:r>
      <w:r w:rsidR="00843F02">
        <w:rPr>
          <w:rStyle w:val="StrongEmphasis"/>
          <w:rFonts w:ascii="Arial" w:hAnsi="Arial" w:cs="Arial"/>
          <w:b w:val="0"/>
          <w:color w:val="000000"/>
        </w:rPr>
        <w:t xml:space="preserve"> </w:t>
      </w:r>
      <w:bookmarkStart w:id="0" w:name="_GoBack"/>
      <w:bookmarkEnd w:id="0"/>
    </w:p>
    <w:p w14:paraId="5A12A0BB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17AD09F7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Afazja, to zaburzenie polegające na niemożności rozumienia mowy, albo na niemożności wyrażania słowami myśli, pomimo prawidłowego aparatu wykonawczego. Afazji często towarzyszą problemy z czytaniem i pisaniem, ponieważ są to umiejętności związane z mową.</w:t>
      </w:r>
    </w:p>
    <w:p w14:paraId="482EC1DF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64640F03" w14:textId="28C55958" w:rsidR="00B255AF" w:rsidRPr="00E05A5F" w:rsidRDefault="00E05A5F" w:rsidP="00E05A5F">
      <w:pPr>
        <w:pStyle w:val="Textbody"/>
        <w:widowControl/>
        <w:spacing w:after="0"/>
        <w:rPr>
          <w:rFonts w:ascii="Arial" w:hAnsi="Arial" w:cs="Arial"/>
        </w:rPr>
      </w:pPr>
      <w:r>
        <w:rPr>
          <w:rStyle w:val="StrongEmphasis"/>
          <w:rFonts w:ascii="Arial" w:hAnsi="Arial" w:cs="Arial"/>
          <w:b w:val="0"/>
          <w:color w:val="000000"/>
        </w:rPr>
        <w:t>Wyróżnia się</w:t>
      </w:r>
      <w:r w:rsidR="006C4726" w:rsidRPr="00E05A5F">
        <w:rPr>
          <w:rStyle w:val="StrongEmphasis"/>
          <w:rFonts w:ascii="Arial" w:hAnsi="Arial" w:cs="Arial"/>
          <w:b w:val="0"/>
          <w:color w:val="000000"/>
        </w:rPr>
        <w:t xml:space="preserve"> dwa zasadnicze rodzaje afazji:</w:t>
      </w:r>
    </w:p>
    <w:p w14:paraId="6DA0CE76" w14:textId="77777777" w:rsidR="00B255AF" w:rsidRPr="00E05A5F" w:rsidRDefault="006C4726" w:rsidP="00E05A5F">
      <w:pPr>
        <w:pStyle w:val="Textbody"/>
        <w:widowControl/>
        <w:numPr>
          <w:ilvl w:val="0"/>
          <w:numId w:val="2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afazję ruchową (motoryczną);</w:t>
      </w:r>
    </w:p>
    <w:p w14:paraId="4D1D860B" w14:textId="77777777" w:rsidR="00B255AF" w:rsidRPr="00E05A5F" w:rsidRDefault="006C4726" w:rsidP="00E05A5F">
      <w:pPr>
        <w:pStyle w:val="Textbody"/>
        <w:widowControl/>
        <w:numPr>
          <w:ilvl w:val="0"/>
          <w:numId w:val="2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afazję czuciową (sensoryczną).</w:t>
      </w:r>
    </w:p>
    <w:p w14:paraId="00AC3389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Można spotkać się z wieloma innymi sposobami kategoryzacji afazji jak np. podział wg T. H. Weisenburga, K. E .McBride;</w:t>
      </w:r>
    </w:p>
    <w:p w14:paraId="6941B295" w14:textId="77777777" w:rsidR="00B255AF" w:rsidRPr="00E05A5F" w:rsidRDefault="006C4726" w:rsidP="00E05A5F">
      <w:pPr>
        <w:pStyle w:val="Textbody"/>
        <w:widowControl/>
        <w:numPr>
          <w:ilvl w:val="0"/>
          <w:numId w:val="3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afazja ruchowa - przewaga zaburzeń mówienia;</w:t>
      </w:r>
    </w:p>
    <w:p w14:paraId="186CF797" w14:textId="77777777" w:rsidR="00B255AF" w:rsidRPr="00E05A5F" w:rsidRDefault="006C4726" w:rsidP="00E05A5F">
      <w:pPr>
        <w:pStyle w:val="Textbody"/>
        <w:widowControl/>
        <w:numPr>
          <w:ilvl w:val="0"/>
          <w:numId w:val="3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afazja czuciowa - przewaga zaburzeń rozumienia;</w:t>
      </w:r>
    </w:p>
    <w:p w14:paraId="27632BA8" w14:textId="77777777" w:rsidR="00B255AF" w:rsidRPr="00E05A5F" w:rsidRDefault="006C4726" w:rsidP="00E05A5F">
      <w:pPr>
        <w:pStyle w:val="Textbody"/>
        <w:widowControl/>
        <w:numPr>
          <w:ilvl w:val="0"/>
          <w:numId w:val="3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afazja mieszana - ruchowo-czuciowa;</w:t>
      </w:r>
    </w:p>
    <w:p w14:paraId="228E90AB" w14:textId="77777777" w:rsidR="00B255AF" w:rsidRPr="00E05A5F" w:rsidRDefault="006C4726" w:rsidP="00E05A5F">
      <w:pPr>
        <w:pStyle w:val="Textbody"/>
        <w:widowControl/>
        <w:numPr>
          <w:ilvl w:val="0"/>
          <w:numId w:val="3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afazja nominalna - przewaga problemów z nazywaniem i odnajdywaniem słów;</w:t>
      </w:r>
    </w:p>
    <w:p w14:paraId="5250B248" w14:textId="77777777" w:rsidR="00B255AF" w:rsidRPr="00E05A5F" w:rsidRDefault="006C4726" w:rsidP="00E05A5F">
      <w:pPr>
        <w:pStyle w:val="Textbody"/>
        <w:widowControl/>
        <w:numPr>
          <w:ilvl w:val="0"/>
          <w:numId w:val="3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afazja totalna - całkowita niezdolność mówienia i rozumienia.</w:t>
      </w:r>
    </w:p>
    <w:p w14:paraId="79FD0792" w14:textId="79E39CB9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Wydaje się jednak, że dla pragmatyki pracy nauczyciela nie ma to kluczowego znaczenia.</w:t>
      </w:r>
    </w:p>
    <w:p w14:paraId="44D0722F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0BB95DAD" w14:textId="77777777" w:rsidR="00E05A5F" w:rsidRDefault="006C4726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  <w:r w:rsidRPr="00E05A5F">
        <w:rPr>
          <w:rStyle w:val="StrongEmphasis"/>
          <w:rFonts w:ascii="Arial" w:hAnsi="Arial" w:cs="Arial"/>
          <w:color w:val="000000"/>
        </w:rPr>
        <w:t>Afazja ruchowa</w:t>
      </w:r>
      <w:r w:rsidRPr="00E05A5F">
        <w:rPr>
          <w:rStyle w:val="StrongEmphasis"/>
          <w:rFonts w:ascii="Arial" w:hAnsi="Arial" w:cs="Arial"/>
          <w:b w:val="0"/>
          <w:color w:val="000000"/>
        </w:rPr>
        <w:t xml:space="preserve"> </w:t>
      </w:r>
    </w:p>
    <w:p w14:paraId="70C431E0" w14:textId="614B7F33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(ten typ afazji upoważnia do uzyskania przez ucznia orzeczenia o potrzebie kształcenia specjalnego)</w:t>
      </w:r>
    </w:p>
    <w:p w14:paraId="31BA4926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Zasadniczym zaburzeniem jest tu nie wykształcenie lub zanik mowy spontanicznej, przy z reguły dobrym jej rozumieniu. Mówiąc najprościej nie ma umiejętności zużytkowania obwodowych narządów mowy do tworzenia słów.</w:t>
      </w:r>
    </w:p>
    <w:p w14:paraId="52950A80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Dziecko z afazją ruchową mówi mało i powoli, a w ciężkich postaciach mowa ogranicza się u niego do powtarzania z różną modulacją (monofazja) jednego lub kilku słów. W postaciach lżejszych zasób wypowiadanych słów jest większy, ale składanie z nich zdań odbywa się z dużym wysiłkiem.</w:t>
      </w:r>
    </w:p>
    <w:p w14:paraId="3AC0A638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Dziecko popełnia podczas mówienia liczne błędy, a ponieważ zdaje sobie z nich sprawę, często bywa w związku z tym zakłopotane i usiłuje je poprawiać.</w:t>
      </w:r>
    </w:p>
    <w:p w14:paraId="0BB58465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4DA4C632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Symptomy trudności:</w:t>
      </w:r>
    </w:p>
    <w:p w14:paraId="45544C26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4DFA1B6E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ubogie słownictwo;</w:t>
      </w:r>
    </w:p>
    <w:p w14:paraId="0EFB2BB2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szybkie zapominanie wypowiadanych słów i zdań;</w:t>
      </w:r>
    </w:p>
    <w:p w14:paraId="54C8123F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trudności z powtarzaniem usłyszanych słów i zdań;</w:t>
      </w:r>
    </w:p>
    <w:p w14:paraId="1A70D8C6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trudności w nazywaniu przedmiotów - stosowanie opisu funkcjonalnego lub nazw zastępczych;</w:t>
      </w:r>
    </w:p>
    <w:p w14:paraId="7638EE41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zamiany sąsiednich głosek, opuszczanie dodawanie i przestawianie ich (parafazje głoskowe);</w:t>
      </w:r>
    </w:p>
    <w:p w14:paraId="01193B03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wtrącanie błędnych słów (parafazje słowne);</w:t>
      </w:r>
    </w:p>
    <w:p w14:paraId="3FF99E42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tworzenie niewłaściwych form gramatyczna (agramatyzmy);</w:t>
      </w:r>
    </w:p>
    <w:p w14:paraId="66391E58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błędy składniowe;</w:t>
      </w:r>
    </w:p>
    <w:p w14:paraId="384E0F81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dzielenie słów na sylaby;</w:t>
      </w:r>
    </w:p>
    <w:p w14:paraId="25B5932B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ciche przygotowywanie się do wypowiedzi;</w:t>
      </w:r>
    </w:p>
    <w:p w14:paraId="41DBA127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wypowiedzi nadmiernie krótkie;</w:t>
      </w:r>
    </w:p>
    <w:p w14:paraId="21C2286A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uproszczanie budowy zdań przez np. opuszczanie przyimków i niezmienianie końcówek rzeczowników (styl depeszowy albo styl telegraficzny);</w:t>
      </w:r>
    </w:p>
    <w:p w14:paraId="30953CC8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lastRenderedPageBreak/>
        <w:t>zaburzenia "melodii" mowy (monotonne wypowiedzi, sylabizowanie, nieprawidłowy akcent w słowie lub niewłaściwa intonacja zdania);</w:t>
      </w:r>
    </w:p>
    <w:p w14:paraId="68498910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poprawianie swoich wypowiedzi;</w:t>
      </w:r>
    </w:p>
    <w:p w14:paraId="681C24CB" w14:textId="77777777" w:rsidR="00B255AF" w:rsidRPr="00E05A5F" w:rsidRDefault="006C4726" w:rsidP="00E05A5F">
      <w:pPr>
        <w:pStyle w:val="Textbody"/>
        <w:widowControl/>
        <w:numPr>
          <w:ilvl w:val="0"/>
          <w:numId w:val="4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problemy z wyliczaniem we właściwej kolejności np. dni tygodni, miesięcy, liczb.</w:t>
      </w:r>
    </w:p>
    <w:p w14:paraId="1ABC74DD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Zaburzeniom mowy mogą towarzyszyć:</w:t>
      </w:r>
    </w:p>
    <w:p w14:paraId="4ADBF217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ogólna niesprawność motoryczna;</w:t>
      </w:r>
    </w:p>
    <w:p w14:paraId="72E331D9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współwystępowanie zaburzeń koordynacji ruchowej oraz orientacji wzrokowo - przestrzennej;</w:t>
      </w:r>
    </w:p>
    <w:p w14:paraId="10FC3557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problemy w kontaktach z rówieśnikami;</w:t>
      </w:r>
    </w:p>
    <w:p w14:paraId="36970679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zaburzenia emocjonalne;</w:t>
      </w:r>
    </w:p>
    <w:p w14:paraId="5AE02ED1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zaburzenia zachowania;</w:t>
      </w:r>
    </w:p>
    <w:p w14:paraId="6570E01D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nadpobudliwość ruchowa;</w:t>
      </w:r>
    </w:p>
    <w:p w14:paraId="3652B0B9" w14:textId="77777777" w:rsidR="00B255AF" w:rsidRPr="00E05A5F" w:rsidRDefault="006C4726" w:rsidP="00E05A5F">
      <w:pPr>
        <w:pStyle w:val="Textbody"/>
        <w:widowControl/>
        <w:numPr>
          <w:ilvl w:val="0"/>
          <w:numId w:val="5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brak koncentracji uwagi.</w:t>
      </w:r>
    </w:p>
    <w:p w14:paraId="3F466B93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1D526A2C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Wskazówki do pracy z uczniem:</w:t>
      </w:r>
    </w:p>
    <w:p w14:paraId="7DBFDFF7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44FFF998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jak najwcześniejsze wprowadzanie czytania - jeśli występują trudności metodą sylabową, wówczas zalecane jest czytanie globalne;</w:t>
      </w:r>
    </w:p>
    <w:p w14:paraId="2B172798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podczas zaznajamiania z obrazem graficznym liter, można wykorzystywać dodatkowo polski alfabet palcowy (daktylografia);</w:t>
      </w:r>
    </w:p>
    <w:p w14:paraId="3256B0DC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umożliwianie wielozmysłowego poznawania treści słów, łączenie słów/nazw z konkretnymi zabawkami, przedmiotami lub obrazkami;</w:t>
      </w:r>
    </w:p>
    <w:p w14:paraId="42CBBC11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zezwalanie na jak najczęstsze wypowiadanie się;</w:t>
      </w:r>
    </w:p>
    <w:p w14:paraId="1CFAB158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motywowanie (nie zmuszanie) do wypowiadania się;</w:t>
      </w:r>
    </w:p>
    <w:p w14:paraId="5872364A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stwarzanie spokojnej atmosferę w trakcie wypowiedzi ustnych;</w:t>
      </w:r>
    </w:p>
    <w:p w14:paraId="30998D00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nie pospieszanie - wydłużanie czasu odpowiedzi ustnej;</w:t>
      </w:r>
    </w:p>
    <w:p w14:paraId="0DC303DB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uwzględnianie problemów z wymową i artykulacją w czasie wypowiedzi;</w:t>
      </w:r>
    </w:p>
    <w:p w14:paraId="0D77ADA5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akceptowanie gestów, min, których dziecko używa w celach komunikacyjnych;</w:t>
      </w:r>
    </w:p>
    <w:p w14:paraId="434D588D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umożliwianie uzupełniania wypowiedzi ustnej zapisem;</w:t>
      </w:r>
    </w:p>
    <w:p w14:paraId="094AE940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nie wymaganie odpowiadania pełnym zdaniem;</w:t>
      </w:r>
    </w:p>
    <w:p w14:paraId="19E2EF6E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wspieranie podczas redagowania wypowiedzi ustnych (np. podpowiadanie brakujących słów);</w:t>
      </w:r>
    </w:p>
    <w:p w14:paraId="320804C3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aranżowanie udziału dziecka w dyskusjach grupowych;</w:t>
      </w:r>
    </w:p>
    <w:p w14:paraId="78AB7059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podpieranie wiadomości podawane słuchowo danymi wzrokowymi;</w:t>
      </w:r>
    </w:p>
    <w:p w14:paraId="6401F96C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formułowanie krótkich instrukcji, w postaci konkretnych pytań lub poleceń. Powtarzanie ich w razie potrzeby;</w:t>
      </w:r>
    </w:p>
    <w:p w14:paraId="3ACA7E13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pomaganie w odczytywaniu podczas lekcji poleceń i instrukcji;</w:t>
      </w:r>
    </w:p>
    <w:p w14:paraId="05537094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 procesie nauczania języka obcego stosowanie metod indywidualnych. Ograniczanie podawanych form językowych (różnica między brzmieniem słowa, a jego zapisem). Ograniczanie ilość materiału (mniej słownictwa). Całkowite dostosowanie form klasówek i sprawdzianów do możliwości ucznia oraz stosowanie indywidualnych kryteriów oceny</w:t>
      </w:r>
    </w:p>
    <w:p w14:paraId="6D1290CA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ustawiczne utrwalanie i wielokrotne wykorzystywanie - poprzez stwarzanie odpowiednich sytuacji komunikacyjnych - zdobytych przez dziecko umiejętności werbalnych;</w:t>
      </w:r>
    </w:p>
    <w:p w14:paraId="7C4989F8" w14:textId="77777777" w:rsidR="00B255AF" w:rsidRPr="00E05A5F" w:rsidRDefault="006C4726" w:rsidP="00E05A5F">
      <w:pPr>
        <w:pStyle w:val="Textbody"/>
        <w:widowControl/>
        <w:numPr>
          <w:ilvl w:val="0"/>
          <w:numId w:val="6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zauważanie i nagradzanie wszelkich form aktywności słownej lub bezsłownej zmierzającej do nawiązania przez dziecko kontaktu z otoczeniem.</w:t>
      </w:r>
    </w:p>
    <w:p w14:paraId="2C9C646B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06C53344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564C7BBD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4F33D8CD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131113D5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11328050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59713DCD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685CB8E9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2C3EE136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  <w:b/>
        </w:rPr>
      </w:pPr>
      <w:r w:rsidRPr="00E05A5F">
        <w:rPr>
          <w:rStyle w:val="StrongEmphasis"/>
          <w:rFonts w:ascii="Arial" w:hAnsi="Arial" w:cs="Arial"/>
          <w:color w:val="000000"/>
        </w:rPr>
        <w:t>Afazja czuciowa</w:t>
      </w:r>
    </w:p>
    <w:p w14:paraId="0352A0AC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  <w:b/>
        </w:rPr>
      </w:pPr>
    </w:p>
    <w:p w14:paraId="13EAA7FA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Zasadniczym zaburzeniem jest tu trudność w rozumieniu mowy. W postaciach lżejszych dziecko rozumie sens przekazu dopiero po kilkakrotnym powtórzeniu. W postaciach cięższych chwyta sens niektórych słów, ale nie rozumie znaczenia całego zdania. Może też występować całkowity brak rozumienia przekazu, jakby dziecko słuchało nie swojego ojczystego języka, lecz zupełnie mu nieznanego.</w:t>
      </w:r>
    </w:p>
    <w:p w14:paraId="2C3ACBDC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Przy tym typie afazji dziecko - w odróżnieniu od dziecka z afazją ruchową - na ogół nie zdaje sobie sprawy z błędów, które popełnia podczas mówienia.</w:t>
      </w:r>
    </w:p>
    <w:p w14:paraId="66AB7D94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5BFD7B9E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Symptomy trudności:</w:t>
      </w:r>
    </w:p>
    <w:p w14:paraId="267C48F9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09083381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gadatliwość - mowa niepoprawna, ale płynna i obfita - często trudna do opanowania (logorea);</w:t>
      </w:r>
    </w:p>
    <w:p w14:paraId="1AAC9470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zamiany sąsiednich głosek, opuszczanie, dodawanie i przestawianie ich (parafazje głoskowe);</w:t>
      </w:r>
    </w:p>
    <w:p w14:paraId="69C7457B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wtrącanie błędnych słów (parafazje słowne);</w:t>
      </w:r>
    </w:p>
    <w:p w14:paraId="1CC173C0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tworzenie niewłaściwych form gramatyczna (agramatyzmy);</w:t>
      </w:r>
    </w:p>
    <w:p w14:paraId="44824E16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bezsensowne odpowiedzi na pytania - mechanicznie powtarzane;</w:t>
      </w:r>
    </w:p>
    <w:p w14:paraId="55FA8AD1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łączenie zgłosek w dziwaczne, pozbawione sensu neologizmy;</w:t>
      </w:r>
    </w:p>
    <w:p w14:paraId="07AC5230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niezrozumiała mowa robiąca wrażenie obcego języka (tzw. afazja żargonowa);</w:t>
      </w:r>
    </w:p>
    <w:p w14:paraId="78D9C23E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trudności w zakresie powtarzania oraz pisma pod dyktando, przy zachowaniu pisma samodzielnego.</w:t>
      </w:r>
    </w:p>
    <w:p w14:paraId="54FDB750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Objawy wtórne:</w:t>
      </w:r>
    </w:p>
    <w:p w14:paraId="246E5C65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zaburzenia analizy i syntezy słuchowej;</w:t>
      </w:r>
    </w:p>
    <w:p w14:paraId="38DB4A7C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zaburzenia zachowania;</w:t>
      </w:r>
    </w:p>
    <w:p w14:paraId="4FC54EF0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zaburzenia emocjonalne - lęki, nadwrażliwość i nadmierna nieśmiałość;</w:t>
      </w:r>
    </w:p>
    <w:p w14:paraId="5F72297F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nadpobudliwość ruchowa;</w:t>
      </w:r>
    </w:p>
    <w:p w14:paraId="39AEE4F3" w14:textId="77777777" w:rsidR="00B255AF" w:rsidRPr="00E05A5F" w:rsidRDefault="006C4726" w:rsidP="00E05A5F">
      <w:pPr>
        <w:pStyle w:val="Textbody"/>
        <w:widowControl/>
        <w:numPr>
          <w:ilvl w:val="0"/>
          <w:numId w:val="7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zaburzenia uwagi;</w:t>
      </w:r>
    </w:p>
    <w:p w14:paraId="0F93BB87" w14:textId="77777777" w:rsidR="00E05A5F" w:rsidRDefault="00E05A5F" w:rsidP="00E05A5F">
      <w:pPr>
        <w:pStyle w:val="Textbody"/>
        <w:widowControl/>
        <w:spacing w:after="0"/>
        <w:rPr>
          <w:rStyle w:val="StrongEmphasis"/>
          <w:rFonts w:ascii="Arial" w:hAnsi="Arial" w:cs="Arial"/>
          <w:b w:val="0"/>
          <w:color w:val="000000"/>
        </w:rPr>
      </w:pPr>
    </w:p>
    <w:p w14:paraId="059202C4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Wskazówki do pracy z uczniem:</w:t>
      </w:r>
    </w:p>
    <w:p w14:paraId="4D80CD6D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6155BF96" w14:textId="77777777" w:rsidR="00B255AF" w:rsidRPr="00E05A5F" w:rsidRDefault="006C4726" w:rsidP="00E05A5F">
      <w:pPr>
        <w:pStyle w:val="Textbody"/>
        <w:widowControl/>
        <w:numPr>
          <w:ilvl w:val="0"/>
          <w:numId w:val="8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podczas mówienia do klasy, utrzymywanie z dzieckiem kontaktu wzrokowego;</w:t>
      </w:r>
    </w:p>
    <w:p w14:paraId="31A3DA66" w14:textId="77777777" w:rsidR="00B255AF" w:rsidRPr="00E05A5F" w:rsidRDefault="006C4726" w:rsidP="00E05A5F">
      <w:pPr>
        <w:pStyle w:val="Textbody"/>
        <w:widowControl/>
        <w:numPr>
          <w:ilvl w:val="0"/>
          <w:numId w:val="8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wydawanie prostych poleceń, pozostawianie dziecku czasu na przetworzenie usłyszanego komunikatu;</w:t>
      </w:r>
    </w:p>
    <w:p w14:paraId="75FE4D06" w14:textId="77777777" w:rsidR="00B255AF" w:rsidRPr="00E05A5F" w:rsidRDefault="006C4726" w:rsidP="00E05A5F">
      <w:pPr>
        <w:pStyle w:val="Textbody"/>
        <w:widowControl/>
        <w:numPr>
          <w:ilvl w:val="0"/>
          <w:numId w:val="8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upewnianie się, czy dziecko zrozumiało polecenie, w razie konieczności powtarzanie go;</w:t>
      </w:r>
    </w:p>
    <w:p w14:paraId="37DDD471" w14:textId="77777777" w:rsidR="00B255AF" w:rsidRPr="00E05A5F" w:rsidRDefault="006C4726" w:rsidP="00E05A5F">
      <w:pPr>
        <w:pStyle w:val="Textbody"/>
        <w:widowControl/>
        <w:numPr>
          <w:ilvl w:val="0"/>
          <w:numId w:val="8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zadawanie jasno sformułowanych pytań, wymagających jednoznacznej odpowiedzi;</w:t>
      </w:r>
    </w:p>
    <w:p w14:paraId="542BD73B" w14:textId="77777777" w:rsidR="00B255AF" w:rsidRPr="00E05A5F" w:rsidRDefault="006C4726" w:rsidP="00E05A5F">
      <w:pPr>
        <w:pStyle w:val="Textbody"/>
        <w:widowControl/>
        <w:numPr>
          <w:ilvl w:val="0"/>
          <w:numId w:val="8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przygotowywanie dla dziecka notatek, które są konkretne i napisane prostym językiem lub ksero z zaznaczonymi najważniejszymi treściami;</w:t>
      </w:r>
    </w:p>
    <w:p w14:paraId="30ECC6A7" w14:textId="77777777" w:rsidR="00B255AF" w:rsidRPr="00E05A5F" w:rsidRDefault="006C4726" w:rsidP="00E05A5F">
      <w:pPr>
        <w:pStyle w:val="Textbody"/>
        <w:widowControl/>
        <w:numPr>
          <w:ilvl w:val="0"/>
          <w:numId w:val="8"/>
        </w:numPr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stosowanie podczas lekcji materiałów poglądowych - nowe wiadomości podawane tylko w formie werbalnej mogą być dla dziecka niezrozumiałe.</w:t>
      </w:r>
    </w:p>
    <w:p w14:paraId="068DD4CE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0A29980A" w14:textId="77777777" w:rsidR="00B255AF" w:rsidRPr="00E05A5F" w:rsidRDefault="00B255AF" w:rsidP="00E05A5F">
      <w:pPr>
        <w:pStyle w:val="Textbody"/>
        <w:widowControl/>
        <w:spacing w:after="0"/>
        <w:rPr>
          <w:rFonts w:ascii="Arial" w:hAnsi="Arial" w:cs="Arial"/>
        </w:rPr>
      </w:pPr>
    </w:p>
    <w:p w14:paraId="78BA69C2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BIBLIOGRAFIA</w:t>
      </w:r>
    </w:p>
    <w:p w14:paraId="2278252C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Antoszkiewicz E., (2016), Tworzenie warunków edukacyjnych dla ucznia z niepełnosprawnością intelektualną w stopniu lekkim, Warszawa</w:t>
      </w:r>
    </w:p>
    <w:p w14:paraId="7636DFD3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lastRenderedPageBreak/>
        <w:t>Attwood T., (2013), Zespół Aspergera. Kompletny przewodnik, Gdańsk</w:t>
      </w:r>
    </w:p>
    <w:p w14:paraId="32358F80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Attwood T., (2006), Zespół Aspergera, Poznań</w:t>
      </w:r>
    </w:p>
    <w:p w14:paraId="4BCEE011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Bogdanowicz M., Adryjanek A., (2004), Uczeń z dysleksją w szkole. Poradnik nie tylko dla polonistów, Gdynia</w:t>
      </w:r>
    </w:p>
    <w:p w14:paraId="5A76B95A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Bogdanowicz M., Czabaj R., (2008), Modelowy system profilaktyki i pomocy psychologiczno-pedagogicznej ucznia z dysleksją, Gdańsk</w:t>
      </w:r>
    </w:p>
    <w:p w14:paraId="17B18EFC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Borkowska M., (2005), Niepełnosprawność ruchowa u dzieci. W: Uczeń z niepełnosprawnością ruchową w szkole ogólnodostępnej. Loska, M., Myślińska, D. (red), Warszawa</w:t>
      </w:r>
    </w:p>
    <w:p w14:paraId="11C7127F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Brejnak W., (2003), Dysleksja, Warszawa</w:t>
      </w:r>
    </w:p>
    <w:p w14:paraId="1D1D476A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Cybulska R., Dryjańska J., Gotlin K., Kłoda M., Pomorska K., Pyzikiewicz A., (2016), Uczeń z zespołem Aspergera w szkole ogólnodostępnej, Warszawa</w:t>
      </w:r>
    </w:p>
    <w:p w14:paraId="0749669B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Dembo M., H., (1997), Stosowana psychologia wychowawcza, Warszawa</w:t>
      </w:r>
    </w:p>
    <w:p w14:paraId="25F20B85" w14:textId="77777777" w:rsidR="00B255AF" w:rsidRPr="00E05A5F" w:rsidRDefault="006C4726" w:rsidP="00E05A5F">
      <w:pPr>
        <w:pStyle w:val="Textbody"/>
        <w:widowControl/>
        <w:spacing w:after="0"/>
        <w:rPr>
          <w:rFonts w:ascii="Arial" w:hAnsi="Arial" w:cs="Arial"/>
        </w:rPr>
      </w:pPr>
      <w:r w:rsidRPr="00E05A5F">
        <w:rPr>
          <w:rStyle w:val="StrongEmphasis"/>
          <w:rFonts w:ascii="Arial" w:hAnsi="Arial" w:cs="Arial"/>
          <w:b w:val="0"/>
          <w:color w:val="000000"/>
        </w:rPr>
        <w:t>Dyrda K., Rosińska J., (2016), Mam zespół Aspergera. Podręcznik dla uczniów i nauczyciel, Warszawa</w:t>
      </w:r>
    </w:p>
    <w:p w14:paraId="51B0C488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Elliott J., Place M., (2000), Dzieci i młodzież w kłopocie, Warszawa</w:t>
      </w:r>
    </w:p>
    <w:p w14:paraId="05707FBC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Grodzka M., (2000), Dziecko autystyczne. Dziennik terapeuty, Warszawa</w:t>
      </w:r>
    </w:p>
    <w:p w14:paraId="47E0F91B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Grygier U., Sikorska I., (2008), Mój uczeń pracuje inaczej. Wskazówki metodyczne, Kraków</w:t>
      </w:r>
    </w:p>
    <w:p w14:paraId="1CC16849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Herzyk A., (1992), Afazja i mutyzm dziecięcy, Lublin</w:t>
      </w:r>
    </w:p>
    <w:p w14:paraId="42CA8C70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Jagielska. G., (2010), Dziecko z autyzmem i zespołem Aspergera w szkole i przedszkolu, Warszawa</w:t>
      </w:r>
    </w:p>
    <w:p w14:paraId="6F7A8F4F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Kordyl Z., (1968), Psychologiczne problemy afazji dziecięcej, Warszawa</w:t>
      </w:r>
    </w:p>
    <w:p w14:paraId="4BD8B5BF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Lipkowski O., (1981), Pedagogika specjalna. Zarys, (Warszawa)</w:t>
      </w:r>
    </w:p>
    <w:p w14:paraId="53C13787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Loska M., Myślińska D., (2005), Uczeń z niepełnosprawnością ruchową w szkole ogólnodostępnej, Warszawa</w:t>
      </w:r>
    </w:p>
    <w:p w14:paraId="367C1966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Maruszewski M., (1966), Afazja. Zagadnienia teorii i terapii, Warszawa</w:t>
      </w:r>
    </w:p>
    <w:p w14:paraId="51E73259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Sawa B., (1990), Dzieci z zaburzeniami mowy, Warszawa</w:t>
      </w:r>
    </w:p>
    <w:p w14:paraId="2D83676F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Święcicka J., (2010), Uczeń z zespołem Aspergera. Praktyczne wskazówki dla nauczyciela, Kraków</w:t>
      </w:r>
    </w:p>
    <w:p w14:paraId="2523E4C4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Szumska J., (1982), Zaburzenia mowy u dzieci, Warszawa</w:t>
      </w:r>
    </w:p>
    <w:p w14:paraId="6D0C0C11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Tanajewska A., Naprawa R., Stawska J., (2014), Praca z uczniami ze specjalnymi potrzebami edukacyjnymi, Warszawa</w:t>
      </w:r>
    </w:p>
    <w:p w14:paraId="0237D25A" w14:textId="77777777" w:rsidR="00B255AF" w:rsidRPr="00E05A5F" w:rsidRDefault="006C4726" w:rsidP="00E05A5F">
      <w:pPr>
        <w:pStyle w:val="Textbody"/>
        <w:widowControl/>
        <w:spacing w:after="0"/>
      </w:pPr>
      <w:r w:rsidRPr="00E05A5F">
        <w:rPr>
          <w:rStyle w:val="StrongEmphasis"/>
          <w:rFonts w:ascii="Arial" w:hAnsi="Arial"/>
          <w:b w:val="0"/>
          <w:color w:val="000000"/>
        </w:rPr>
        <w:t>Wyczesany J., (2012), Wybrane aspekty diagnozy i terapii osób z niepełnosprawnością intelektualną. W: Niepełnosprawność intelektualna. Bobińska K., Pietras T., Gałecki P. (red), Wrocław</w:t>
      </w:r>
    </w:p>
    <w:p w14:paraId="328D8902" w14:textId="32BE0AE5" w:rsidR="00E05A5F" w:rsidRPr="00E05A5F" w:rsidRDefault="00E05A5F" w:rsidP="00E05A5F">
      <w:pPr>
        <w:pStyle w:val="Standard"/>
        <w:suppressAutoHyphens w:val="0"/>
      </w:pPr>
    </w:p>
    <w:p w14:paraId="23672A63" w14:textId="77777777" w:rsidR="00B255AF" w:rsidRDefault="00B255AF">
      <w:pPr>
        <w:pStyle w:val="Textbody"/>
        <w:widowControl/>
        <w:spacing w:after="0" w:line="450" w:lineRule="atLeast"/>
        <w:ind w:left="600"/>
      </w:pPr>
    </w:p>
    <w:p w14:paraId="7232D0D9" w14:textId="0555ED76" w:rsidR="00B255AF" w:rsidRPr="00843F02" w:rsidRDefault="00B255AF" w:rsidP="00843F02">
      <w:pPr>
        <w:suppressAutoHyphens w:val="0"/>
      </w:pPr>
    </w:p>
    <w:p w14:paraId="22831A6E" w14:textId="77777777" w:rsidR="00B255AF" w:rsidRDefault="00B255AF">
      <w:pPr>
        <w:pStyle w:val="Standard"/>
        <w:rPr>
          <w:rFonts w:ascii="Arial" w:hAnsi="Arial"/>
        </w:rPr>
      </w:pPr>
    </w:p>
    <w:sectPr w:rsidR="00B255A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478F" w14:textId="77777777" w:rsidR="006D0BC1" w:rsidRDefault="006D0BC1">
      <w:r>
        <w:separator/>
      </w:r>
    </w:p>
  </w:endnote>
  <w:endnote w:type="continuationSeparator" w:id="0">
    <w:p w14:paraId="4105A100" w14:textId="77777777" w:rsidR="006D0BC1" w:rsidRDefault="006D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5C82" w14:textId="77777777" w:rsidR="006D0BC1" w:rsidRDefault="006D0BC1">
      <w:r>
        <w:rPr>
          <w:color w:val="000000"/>
        </w:rPr>
        <w:separator/>
      </w:r>
    </w:p>
  </w:footnote>
  <w:footnote w:type="continuationSeparator" w:id="0">
    <w:p w14:paraId="05025ECE" w14:textId="77777777" w:rsidR="006D0BC1" w:rsidRDefault="006D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2EB"/>
    <w:multiLevelType w:val="hybridMultilevel"/>
    <w:tmpl w:val="42D0A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56A"/>
    <w:multiLevelType w:val="hybridMultilevel"/>
    <w:tmpl w:val="25545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6309"/>
    <w:multiLevelType w:val="hybridMultilevel"/>
    <w:tmpl w:val="3AC6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2D01"/>
    <w:multiLevelType w:val="hybridMultilevel"/>
    <w:tmpl w:val="684C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50C3"/>
    <w:multiLevelType w:val="hybridMultilevel"/>
    <w:tmpl w:val="F870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D5904"/>
    <w:multiLevelType w:val="hybridMultilevel"/>
    <w:tmpl w:val="76E4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5259"/>
    <w:multiLevelType w:val="hybridMultilevel"/>
    <w:tmpl w:val="DD689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76445153"/>
    <w:multiLevelType w:val="hybridMultilevel"/>
    <w:tmpl w:val="34285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5AF"/>
    <w:rsid w:val="006C4726"/>
    <w:rsid w:val="006D0BC1"/>
    <w:rsid w:val="00843F02"/>
    <w:rsid w:val="00B255AF"/>
    <w:rsid w:val="00D322D4"/>
    <w:rsid w:val="00E05A5F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081"/>
  <w15:docId w15:val="{598BEDBC-60DD-4541-A343-4E9C0841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5</cp:revision>
  <cp:lastPrinted>2019-09-06T10:43:00Z</cp:lastPrinted>
  <dcterms:created xsi:type="dcterms:W3CDTF">2019-09-05T16:11:00Z</dcterms:created>
  <dcterms:modified xsi:type="dcterms:W3CDTF">2021-06-14T09:34:00Z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