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1E62500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0B5D1F">
        <w:rPr>
          <w:rFonts w:asciiTheme="minorHAnsi" w:hAnsiTheme="minorHAnsi" w:cstheme="minorHAnsi"/>
          <w:b/>
          <w:i w:val="0"/>
        </w:rPr>
        <w:t xml:space="preserve">zamestnanca </w:t>
      </w:r>
      <w:r w:rsidRPr="0000614D">
        <w:rPr>
          <w:rFonts w:asciiTheme="minorHAnsi" w:hAnsiTheme="minorHAnsi" w:cstheme="minorHAnsi"/>
          <w:b/>
          <w:i w:val="0"/>
        </w:rPr>
        <w:t>pred ná</w:t>
      </w:r>
      <w:r w:rsidR="006C3DF4" w:rsidRPr="0000614D">
        <w:rPr>
          <w:rFonts w:asciiTheme="minorHAnsi" w:hAnsiTheme="minorHAnsi" w:cstheme="minorHAnsi"/>
          <w:b/>
          <w:i w:val="0"/>
        </w:rPr>
        <w:t>stupom</w:t>
      </w:r>
      <w:r w:rsidRPr="0000614D">
        <w:rPr>
          <w:rFonts w:asciiTheme="minorHAnsi" w:hAnsiTheme="minorHAnsi" w:cstheme="minorHAnsi"/>
          <w:b/>
          <w:i w:val="0"/>
        </w:rPr>
        <w:t xml:space="preserve"> do </w:t>
      </w:r>
      <w:r w:rsidR="004E7CF3" w:rsidRPr="0000614D">
        <w:rPr>
          <w:rFonts w:asciiTheme="minorHAnsi" w:hAnsiTheme="minorHAnsi" w:cstheme="minorHAnsi"/>
          <w:b/>
          <w:i w:val="0"/>
        </w:rPr>
        <w:t>školy a školského zariadenia</w:t>
      </w:r>
    </w:p>
    <w:p w14:paraId="36127155" w14:textId="77777777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6DD0F56E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2635459A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4A237396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88F069E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42561DC4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="000B5D1F">
        <w:rPr>
          <w:rFonts w:asciiTheme="minorHAnsi" w:hAnsiTheme="minorHAnsi" w:cstheme="minorHAnsi"/>
          <w:b/>
          <w:bCs/>
          <w:color w:val="000000"/>
          <w:w w:val="104"/>
        </w:rPr>
        <w:t>zamestnanec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52E3F02B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cestoval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44FE3913" w:rsidR="004E7CF3" w:rsidRPr="0000614D" w:rsidRDefault="0082459E" w:rsidP="0082459E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Prehlasujem, že som sa zúčastnil hromadného podujatia* v termíne od 17. 8. do 31. 8.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8AEA29C" w:rsidR="00A76A8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Váš zdra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votný stav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zdravotný stav 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osôb žijúcich v spoločnej domácnosti a iných blízkych osôb,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0B5D1F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ktor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ste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v častom kontakte.</w:t>
      </w:r>
    </w:p>
    <w:p w14:paraId="2BD1289E" w14:textId="77777777" w:rsidR="00A76A8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15EA7DB3" w14:textId="3A2A918A" w:rsidR="00BB0348" w:rsidRPr="0000614D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Vás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povať v zmysle jeho odporúčaní a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nenavštev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4AAAEDD4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neprejavu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jem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mi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ie je mi známe, že by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som ja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,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moji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rodičia alebo iné osoby, ktoré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o mnou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2D347892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Podpis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68F26" w14:textId="77777777" w:rsidR="00FA52DE" w:rsidRDefault="00FA52DE" w:rsidP="002F7619">
      <w:r>
        <w:separator/>
      </w:r>
    </w:p>
  </w:endnote>
  <w:endnote w:type="continuationSeparator" w:id="0">
    <w:p w14:paraId="6859AEE5" w14:textId="77777777" w:rsidR="00FA52DE" w:rsidRDefault="00FA52DE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40EAD" w14:textId="77777777" w:rsidR="00FA52DE" w:rsidRDefault="00FA52DE" w:rsidP="002F7619">
      <w:r>
        <w:separator/>
      </w:r>
    </w:p>
  </w:footnote>
  <w:footnote w:type="continuationSeparator" w:id="0">
    <w:p w14:paraId="2828DC60" w14:textId="77777777" w:rsidR="00FA52DE" w:rsidRDefault="00FA52DE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0B5D1F"/>
    <w:rsid w:val="00206351"/>
    <w:rsid w:val="00262941"/>
    <w:rsid w:val="002C359E"/>
    <w:rsid w:val="002F3F84"/>
    <w:rsid w:val="002F7619"/>
    <w:rsid w:val="003A5846"/>
    <w:rsid w:val="003B433A"/>
    <w:rsid w:val="004A664B"/>
    <w:rsid w:val="004C46DA"/>
    <w:rsid w:val="004E7CF3"/>
    <w:rsid w:val="005850C9"/>
    <w:rsid w:val="005B0359"/>
    <w:rsid w:val="006323FD"/>
    <w:rsid w:val="00671C92"/>
    <w:rsid w:val="00692030"/>
    <w:rsid w:val="00693A33"/>
    <w:rsid w:val="006C3DF4"/>
    <w:rsid w:val="00712F46"/>
    <w:rsid w:val="00731972"/>
    <w:rsid w:val="00754108"/>
    <w:rsid w:val="00782B3F"/>
    <w:rsid w:val="0082459E"/>
    <w:rsid w:val="0093328A"/>
    <w:rsid w:val="00960232"/>
    <w:rsid w:val="00A76A87"/>
    <w:rsid w:val="00AF52CD"/>
    <w:rsid w:val="00B03F58"/>
    <w:rsid w:val="00B546D4"/>
    <w:rsid w:val="00BB0348"/>
    <w:rsid w:val="00BE32AD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633F8"/>
    <w:rsid w:val="00FA52DE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3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35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35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5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59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43A2-5AF1-4817-BDA0-3AE9A15F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2020-08-19T09:41:00Z</cp:lastPrinted>
  <dcterms:created xsi:type="dcterms:W3CDTF">2020-08-19T09:47:00Z</dcterms:created>
  <dcterms:modified xsi:type="dcterms:W3CDTF">2020-08-19T09:47:00Z</dcterms:modified>
</cp:coreProperties>
</file>